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FF0000"/>
          <w:kern w:val="36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FF0000"/>
          <w:kern w:val="36"/>
          <w:sz w:val="28"/>
          <w:szCs w:val="28"/>
          <w:lang w:eastAsia="ru-RU"/>
        </w:rPr>
        <w:t>Будущий профессионал, 2025 г.</w:t>
      </w:r>
    </w:p>
    <w:bookmarkStart w:id="0" w:name="_GoBack"/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030E8E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"http://argo.surgu.ru/wp-content/uploads/sites/8/2025/02/17_%D0%9F%D1%80_1_10_%D0%9F_115_%D0%91%D1%83%D0%B4%D1%83%D1%89%D0%B8%D0%B9_%D0%BF%D1%80%D0%BE%D1%84%D0%B5%D1%81%D1%81%D0%B8%D0%BE%D0%BD%D0%B0%D0%BB_2025_2030.pdf" </w:instrText>
      </w:r>
      <w:r w:rsidRPr="00030E8E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030E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Межведомственный приказ</w:t>
      </w:r>
      <w:r w:rsidRPr="00030E8E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bookmarkEnd w:id="0"/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 27 января 2025 г. №17-Пр-1/10-П-115 “О реализации в 2025-2030 годах проекта по профессиональной ориентации несовершеннолетних граждан “Будущий профессионал” в Ханты-Мансийском автономном округе – Югре.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Целью проекта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является повышение престижа профессий, востребованных на рынке труда Ханты-Мансийского автономного округа – Югры, среди обучающихся образовательных организаций; создание системы действенной профессиональной ориентации обучающихся, способствующей формированию их профессионального, личностного и социального самоопределения.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Заказчики проекта: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Департамент труда и занятости Ханты-Мансийского автономного округа – Югры, Департамент образования и науки Ханты-Мансийского автономного округа – Югры.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Партнер проекта: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Центр тестирования и развития «Гуманитарные технологии» Московского государственного университета.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Участники проекта: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школьники 8-11 классов образовательных организаций 22 муниципалитетов Югры.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Целевые показатели проекта на 2025 год: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численность обучающихся 8-11 классов – не менее 13700 человек, численность педагогических работников – не менее 300 человек.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Дистанционные образовательные ресурсы проекта:</w:t>
      </w:r>
    </w:p>
    <w:p w:rsidR="00030E8E" w:rsidRPr="00030E8E" w:rsidRDefault="00030E8E" w:rsidP="00030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5" w:history="1">
        <w:proofErr w:type="gramStart"/>
        <w:r w:rsidRPr="00030E8E">
          <w:rPr>
            <w:rFonts w:ascii="Times New Roman" w:eastAsia="Times New Roman" w:hAnsi="Times New Roman" w:cs="Times New Roman"/>
            <w:color w:val="0069A9"/>
            <w:sz w:val="28"/>
            <w:szCs w:val="28"/>
            <w:u w:val="single"/>
            <w:lang w:eastAsia="ru-RU"/>
          </w:rPr>
          <w:t>платформа</w:t>
        </w:r>
        <w:proofErr w:type="gramEnd"/>
      </w:hyperlink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для прохождения курсов повышения квалификации педагогами, задействованными в проекте;</w:t>
      </w:r>
    </w:p>
    <w:p w:rsidR="00030E8E" w:rsidRPr="00030E8E" w:rsidRDefault="00030E8E" w:rsidP="00030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6" w:history="1">
        <w:proofErr w:type="gramStart"/>
        <w:r w:rsidRPr="00030E8E">
          <w:rPr>
            <w:rFonts w:ascii="Times New Roman" w:eastAsia="Times New Roman" w:hAnsi="Times New Roman" w:cs="Times New Roman"/>
            <w:color w:val="0069A9"/>
            <w:sz w:val="28"/>
            <w:szCs w:val="28"/>
            <w:u w:val="single"/>
            <w:lang w:eastAsia="ru-RU"/>
          </w:rPr>
          <w:t>платформа</w:t>
        </w:r>
        <w:proofErr w:type="gramEnd"/>
      </w:hyperlink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для прохождения </w:t>
      </w:r>
      <w:proofErr w:type="spellStart"/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профориентационного</w:t>
      </w:r>
      <w:proofErr w:type="spellEnd"/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тестирования школьниками;</w:t>
      </w:r>
    </w:p>
    <w:p w:rsidR="00030E8E" w:rsidRPr="00030E8E" w:rsidRDefault="00030E8E" w:rsidP="00030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7" w:history="1">
        <w:proofErr w:type="gramStart"/>
        <w:r w:rsidRPr="00030E8E">
          <w:rPr>
            <w:rFonts w:ascii="Times New Roman" w:eastAsia="Times New Roman" w:hAnsi="Times New Roman" w:cs="Times New Roman"/>
            <w:color w:val="0069A9"/>
            <w:sz w:val="28"/>
            <w:szCs w:val="28"/>
            <w:u w:val="single"/>
            <w:lang w:eastAsia="ru-RU"/>
          </w:rPr>
          <w:t>платформа</w:t>
        </w:r>
        <w:proofErr w:type="gramEnd"/>
      </w:hyperlink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для прохождения онлайн-курса “Будущий профессионал” школьниками  и их родителями.</w:t>
      </w:r>
    </w:p>
    <w:p w:rsidR="00030E8E" w:rsidRPr="00030E8E" w:rsidRDefault="00030E8E" w:rsidP="00030E8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этапы проекта: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Февраль-март 2025 г. 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формирование списков общеобразовательных организаций, педагогических работников, обучающихся – участников проекта.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15 апреля 2025 г.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прохождение обучающимися и родителями курса “Будущий профессионал”.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15 апреля 2025 г.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проведение комплексного </w:t>
      </w:r>
      <w:proofErr w:type="spellStart"/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профориентационного</w:t>
      </w:r>
      <w:proofErr w:type="spellEnd"/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тестирования обучающихся.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8" w:history="1">
        <w:r w:rsidRPr="00030E8E">
          <w:rPr>
            <w:rFonts w:ascii="Times New Roman" w:eastAsia="Times New Roman" w:hAnsi="Times New Roman" w:cs="Times New Roman"/>
            <w:i/>
            <w:iCs/>
            <w:color w:val="0069A9"/>
            <w:sz w:val="28"/>
            <w:szCs w:val="28"/>
            <w:u w:val="single"/>
            <w:lang w:eastAsia="ru-RU"/>
          </w:rPr>
          <w:t>До 30 апреля 2025 г.</w:t>
        </w:r>
        <w:r w:rsidRPr="00030E8E">
          <w:rPr>
            <w:rFonts w:ascii="Times New Roman" w:eastAsia="Times New Roman" w:hAnsi="Times New Roman" w:cs="Times New Roman"/>
            <w:color w:val="0069A9"/>
            <w:sz w:val="28"/>
            <w:szCs w:val="28"/>
            <w:u w:val="single"/>
            <w:lang w:eastAsia="ru-RU"/>
          </w:rPr>
          <w:t> – обучение педагогических работников</w:t>
        </w:r>
      </w:hyperlink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 программам дополнительного профессионального образования.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30 апреля 2025 г.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проведение тренингов “Дизайнер профессии будущего” для обучающихся образовательных организаций.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До 10 октября 2025 г. 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проведение муниципальных этапов конкурса “Будущий профессионал”.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01 ноября 2025 г.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проведение регионального конкурса “Будущий профессионал”.</w:t>
      </w:r>
    </w:p>
    <w:p w:rsidR="00030E8E" w:rsidRPr="00030E8E" w:rsidRDefault="00030E8E" w:rsidP="00030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0E8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Ноябрь-декабрь 2025 г.</w:t>
      </w:r>
      <w:r w:rsidRPr="00030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аналитический этап (формирование отчетов, подведение итогов, проведение опроса удовлетворенности участников проекта).</w:t>
      </w:r>
    </w:p>
    <w:p w:rsidR="00377704" w:rsidRPr="00030E8E" w:rsidRDefault="00377704" w:rsidP="00030E8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77704" w:rsidRPr="00030E8E" w:rsidSect="00030E8E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060D1E"/>
    <w:multiLevelType w:val="multilevel"/>
    <w:tmpl w:val="B3A41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E0F46E5"/>
    <w:multiLevelType w:val="multilevel"/>
    <w:tmpl w:val="1C5C7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179"/>
    <w:rsid w:val="00030E8E"/>
    <w:rsid w:val="00377704"/>
    <w:rsid w:val="004D0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05BB0-71CE-450A-98EB-1A62A2686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89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go.surgu.ru/%d0%bf%d0%be%d0%b2%d1%8b%d1%88%d0%b5%d0%bd%d0%b8%d0%b5-%d0%ba%d0%b2%d0%b0%d0%bb%d0%b8%d1%84%d0%b8%d0%ba%d0%b0%d1%86%d0%b8%d0%b8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alents.surgu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hmao-2024.profline.online/cabinet/login" TargetMode="External"/><Relationship Id="rId5" Type="http://schemas.openxmlformats.org/officeDocument/2006/relationships/hyperlink" Target="https://surgu.distant.globa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2025-03-17T09:04:00Z</dcterms:created>
  <dcterms:modified xsi:type="dcterms:W3CDTF">2025-03-17T09:04:00Z</dcterms:modified>
</cp:coreProperties>
</file>